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B3" w:rsidRDefault="00FA668E">
      <w:pPr>
        <w:ind w:left="-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Информационное сообщение</w:t>
      </w:r>
    </w:p>
    <w:bookmarkEnd w:id="0"/>
    <w:p w:rsidR="00C42FB3" w:rsidRDefault="00C42FB3">
      <w:pPr>
        <w:ind w:left="-567"/>
        <w:jc w:val="both"/>
        <w:rPr>
          <w:sz w:val="28"/>
          <w:szCs w:val="28"/>
        </w:rPr>
      </w:pPr>
    </w:p>
    <w:p w:rsidR="00C42FB3" w:rsidRDefault="00FA66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 июля 2017 года в Российском союзе промышленников и предпринимателей (РСПП) состоялось заседание Координационного совета в сфере обращения лекарственных средств и медицинских изделий при Минздраве </w:t>
      </w:r>
      <w:r w:rsidR="009923B1">
        <w:rPr>
          <w:sz w:val="28"/>
          <w:szCs w:val="28"/>
        </w:rPr>
        <w:t>России совместно</w:t>
      </w:r>
      <w:r>
        <w:rPr>
          <w:sz w:val="28"/>
          <w:szCs w:val="28"/>
        </w:rPr>
        <w:t xml:space="preserve"> с Комиссией РСПП по индустрии здоровья, Комиссией РСПП по фармацевтической и медицинской промышленности и Комитетом ТПП РФ по предпринимательству в здравоохранении и медицинской промышленности. В заседании приняли участие вице-президент РСПП В.М. Черепов, руководитель Росздравнадзора М.А. Мурашко, директор Департамента лекарственного обеспечения и регулирования обращения медицинских изделий Минздрава России, сопредседатель рабочей группы Совета Е.А. Максимкина, директор Департамента развития фармацевтической и медицинской промышленности Минпромторга России А.В. Алехин, заместитель директора Департамента лекарственного обеспечения и регулирования обращения медицинских изделий К.А. Бинько, заместитель руководителя Росздравнадзора Д.Ю. Павлюков и заместитель начальника Управления Росздравнадзора М.М. Суханова.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заседания обсудили вопросы нормативного правового регулирования обращения медицинских изделий, состояние и перспективы развития иммунобиологических и вакцинных препаратов и ценообразования на них.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докладов сопредседателей Совета  Ю.Т. Калинина и Е.А. Максимкиной приняли участие руководитель Росздравнадзора М.А. Мурашко, директор Департамента развития фармацевтической и медицинской промышленности Минпромторга России А.В. Алехин, президент ассоциации «</w:t>
      </w:r>
      <w:proofErr w:type="spellStart"/>
      <w:r>
        <w:rPr>
          <w:sz w:val="28"/>
          <w:szCs w:val="28"/>
        </w:rPr>
        <w:t>Здравмедтех</w:t>
      </w:r>
      <w:proofErr w:type="spellEnd"/>
      <w:r>
        <w:rPr>
          <w:sz w:val="28"/>
          <w:szCs w:val="28"/>
        </w:rPr>
        <w:t>» А.В. Ручкин, генеральный директор АО «Медицинские технологии» А.Б. </w:t>
      </w:r>
      <w:proofErr w:type="spellStart"/>
      <w:r>
        <w:rPr>
          <w:sz w:val="28"/>
          <w:szCs w:val="28"/>
        </w:rPr>
        <w:t>Эйлазов</w:t>
      </w:r>
      <w:proofErr w:type="spellEnd"/>
      <w:r>
        <w:rPr>
          <w:sz w:val="28"/>
          <w:szCs w:val="28"/>
        </w:rPr>
        <w:t>, председатель технического комитета 436 "Управление качеством медицинских изделий" С.В. </w:t>
      </w:r>
      <w:proofErr w:type="spellStart"/>
      <w:r>
        <w:rPr>
          <w:sz w:val="28"/>
          <w:szCs w:val="28"/>
        </w:rPr>
        <w:t>Солонников</w:t>
      </w:r>
      <w:proofErr w:type="spellEnd"/>
      <w:r>
        <w:rPr>
          <w:sz w:val="28"/>
          <w:szCs w:val="28"/>
        </w:rPr>
        <w:t>, президент Национальной фармацевтической ассоциации  А.Д. </w:t>
      </w:r>
      <w:proofErr w:type="spellStart"/>
      <w:r>
        <w:rPr>
          <w:sz w:val="28"/>
          <w:szCs w:val="28"/>
        </w:rPr>
        <w:t>Апазов</w:t>
      </w:r>
      <w:proofErr w:type="spellEnd"/>
      <w:r>
        <w:rPr>
          <w:sz w:val="28"/>
          <w:szCs w:val="28"/>
        </w:rPr>
        <w:t xml:space="preserve">, директор по вопросам правового регулирования ассоциаций </w:t>
      </w:r>
      <w:r>
        <w:rPr>
          <w:sz w:val="28"/>
          <w:szCs w:val="28"/>
          <w:lang w:val="en-US"/>
        </w:rPr>
        <w:t>IMEDA</w:t>
      </w:r>
      <w:r>
        <w:rPr>
          <w:sz w:val="28"/>
          <w:szCs w:val="28"/>
        </w:rPr>
        <w:t xml:space="preserve"> М.В. Потапов, исполнительный директор СПФО Л.В. Титова, представитель Департамента технического регулирования и аккредитации ЕАЭК Д.А. Щекин, президент ассоциации АПСКЛД А.М. Егоров, президент ООО 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 В.В. Христенко, президент ООО «НПО ПЕТРОВАКС Фарм» Е.В. Архангельская, начальник отдела АО «</w:t>
      </w:r>
      <w:proofErr w:type="spellStart"/>
      <w:r>
        <w:rPr>
          <w:sz w:val="28"/>
          <w:szCs w:val="28"/>
        </w:rPr>
        <w:t>Нацимбио</w:t>
      </w:r>
      <w:proofErr w:type="spellEnd"/>
      <w:r>
        <w:rPr>
          <w:sz w:val="28"/>
          <w:szCs w:val="28"/>
        </w:rPr>
        <w:t>» А.М. 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>, директор по взаимодействию с органами государственной власти компании «</w:t>
      </w:r>
      <w:proofErr w:type="spellStart"/>
      <w:r>
        <w:rPr>
          <w:sz w:val="28"/>
          <w:szCs w:val="28"/>
        </w:rPr>
        <w:t>Санофи</w:t>
      </w:r>
      <w:proofErr w:type="spellEnd"/>
      <w:r>
        <w:rPr>
          <w:sz w:val="28"/>
          <w:szCs w:val="28"/>
        </w:rPr>
        <w:t>» Т.Г. Смирнова, руководитель Департамента компании ЗАО «</w:t>
      </w:r>
      <w:proofErr w:type="spellStart"/>
      <w:r>
        <w:rPr>
          <w:sz w:val="28"/>
          <w:szCs w:val="28"/>
        </w:rPr>
        <w:t>ГлаксоСмитТрейдинг</w:t>
      </w:r>
      <w:proofErr w:type="spellEnd"/>
      <w:r>
        <w:rPr>
          <w:sz w:val="28"/>
          <w:szCs w:val="28"/>
        </w:rPr>
        <w:t>», К.И. </w:t>
      </w:r>
      <w:proofErr w:type="spellStart"/>
      <w:r>
        <w:rPr>
          <w:sz w:val="28"/>
          <w:szCs w:val="28"/>
        </w:rPr>
        <w:t>Сайткулов</w:t>
      </w:r>
      <w:proofErr w:type="spellEnd"/>
      <w:r>
        <w:rPr>
          <w:sz w:val="28"/>
          <w:szCs w:val="28"/>
        </w:rPr>
        <w:t xml:space="preserve"> и другие.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роли нормативно-правого регулирования обращения медицинских изделий в развитии медицинской промышленности и улучшении качества оказания медицинской помощи, члены Совета, отметив высокие темпы развития производства изделий и техники медицинского назначения, остановились на накопившихся проблемах. М.А. Мурашко обратил внимание на необходимость совершенствования технологии внедрения системы менеджмента качества на предприятиях, проинформировал о мерах, принимаемых Росздравнадзором по внедрению риск-ориентированного подхода при осуществлении надзора за </w:t>
      </w:r>
      <w:r>
        <w:rPr>
          <w:sz w:val="28"/>
          <w:szCs w:val="28"/>
        </w:rPr>
        <w:lastRenderedPageBreak/>
        <w:t xml:space="preserve">обращением лекарственных средств и медицинских изделий, а также ответил на вопросы, поднятые участниками заседания, касающиеся регистрации медицинских изделий. Члены Совета одобрили представленный К.А. Бинько проект постановления Правительства РФ «О внесении изменений в постановление Правительства Российской Федерации от 27.12.2012 № 1416 «Об утверждении Правил государственной регистрации медицинских изделий» и </w:t>
      </w:r>
      <w:proofErr w:type="gramStart"/>
      <w:r>
        <w:rPr>
          <w:sz w:val="28"/>
          <w:szCs w:val="28"/>
        </w:rPr>
        <w:t>в  Федеральный</w:t>
      </w:r>
      <w:proofErr w:type="gramEnd"/>
      <w:r>
        <w:rPr>
          <w:sz w:val="28"/>
          <w:szCs w:val="28"/>
        </w:rPr>
        <w:t xml:space="preserve"> закон от 21.11.2011 №323</w:t>
      </w:r>
      <w:r>
        <w:rPr>
          <w:sz w:val="28"/>
          <w:szCs w:val="28"/>
        </w:rPr>
        <w:noBreakHyphen/>
        <w:t xml:space="preserve">ФЗ «Об основах охраны здоровья граждан в Российской Федерации». Договорившись обсудить дополнительно поправки, касающиеся процедуры государственной регистрации некоторых медицинских изделий 2а класса потенциального риска, а также ряда разделов понятийного аппарата Федерального закона, участники заседания одобрили рекомендации, направленные на разработку мер стимулирования спроса на продукцию отечественного производства и ускорение регистрации медицинских </w:t>
      </w:r>
      <w:proofErr w:type="gramStart"/>
      <w:r>
        <w:rPr>
          <w:sz w:val="28"/>
          <w:szCs w:val="28"/>
        </w:rPr>
        <w:t>изделий  по</w:t>
      </w:r>
      <w:proofErr w:type="gramEnd"/>
      <w:r>
        <w:rPr>
          <w:sz w:val="28"/>
          <w:szCs w:val="28"/>
        </w:rPr>
        <w:t xml:space="preserve"> правилам ЕАЭС. Выработанные рекомендации будут представлены в Минпромторг России. 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развитии производства вакцинных препаратов и ценообразования на них рассматривался на заседании в порядке контроля за выполнением решения Совместного заседания профильных комиссий РСПП и комитета ТПП РФ от 10.11.2016. 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представленные доклады, участники заседания отметили, что на российском рынке представлены все вакцины, необходимые для удовлетворения потребности в рамках Национального календаря профилактических </w:t>
      </w:r>
      <w:proofErr w:type="gramStart"/>
      <w:r>
        <w:rPr>
          <w:sz w:val="28"/>
          <w:szCs w:val="28"/>
        </w:rPr>
        <w:t>прививок  и</w:t>
      </w:r>
      <w:proofErr w:type="gramEnd"/>
      <w:r>
        <w:rPr>
          <w:sz w:val="28"/>
          <w:szCs w:val="28"/>
        </w:rPr>
        <w:t xml:space="preserve"> прививок эпидемиологическим показаниям. Часть рекомендаций, предусмотренных решением от 10 ноября, выполнено. Начаты поставки современной вакцины «</w:t>
      </w:r>
      <w:proofErr w:type="spellStart"/>
      <w:r>
        <w:rPr>
          <w:sz w:val="28"/>
          <w:szCs w:val="28"/>
        </w:rPr>
        <w:t>Пентаксим</w:t>
      </w:r>
      <w:proofErr w:type="spellEnd"/>
      <w:r>
        <w:rPr>
          <w:sz w:val="28"/>
          <w:szCs w:val="28"/>
        </w:rPr>
        <w:t xml:space="preserve">» и инактивированной полиомиелитной вакцины </w:t>
      </w:r>
      <w:proofErr w:type="spellStart"/>
      <w:r>
        <w:rPr>
          <w:sz w:val="28"/>
          <w:szCs w:val="28"/>
        </w:rPr>
        <w:t>компаней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 xml:space="preserve">», которые раньше закупалась исключительно по импорту. Развернуты работы по модернизации действующих производств на соответствие требованиям </w:t>
      </w:r>
      <w:r>
        <w:rPr>
          <w:sz w:val="28"/>
          <w:szCs w:val="28"/>
          <w:lang w:val="en-US"/>
        </w:rPr>
        <w:t>GMP</w:t>
      </w:r>
      <w:r>
        <w:rPr>
          <w:sz w:val="28"/>
          <w:szCs w:val="28"/>
        </w:rPr>
        <w:t xml:space="preserve">. 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Е.А. Максимкина проинформировала членов Совета и коммерческие организации, участвующие в государственных закупках вакцин, о ходе выполнения плана прививочной компании в 2017 году, обратила внимание на основные проблемы, возникающие при закупках вакцин, а также высказала ряд рекомендаций, касающихся бесперебойных поставок вакцин для нужд Национального календаря прививок.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заседания подробно обсудили разработанный Минздравом России проект постановления Правительства РФ «О государственной регистрации и перерегистрации предельных отпускных цен на лекарственные препараты, включённые в перечень ЖНВЛП», и высказали ряд рекомендаций по его доработке с учетом особенностей действующего </w:t>
      </w:r>
      <w:proofErr w:type="gramStart"/>
      <w:r>
        <w:rPr>
          <w:sz w:val="28"/>
          <w:szCs w:val="28"/>
        </w:rPr>
        <w:t>ценообразования  на</w:t>
      </w:r>
      <w:proofErr w:type="gramEnd"/>
      <w:r>
        <w:rPr>
          <w:sz w:val="28"/>
          <w:szCs w:val="28"/>
        </w:rPr>
        <w:t xml:space="preserve"> вакцинные препараты.</w:t>
      </w:r>
    </w:p>
    <w:p w:rsidR="00C42FB3" w:rsidRDefault="00FA668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РСПП по фармацевтической и медицинской промышленности поручено доработать представленные проекты решений заседания с учетом высказанных замечаний и после согласования направить их в Минздрав России, Минпромторг России и ФАС России.</w:t>
      </w:r>
    </w:p>
    <w:sectPr w:rsidR="00C42F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B0" w:rsidRDefault="004319B0">
      <w:r>
        <w:separator/>
      </w:r>
    </w:p>
  </w:endnote>
  <w:endnote w:type="continuationSeparator" w:id="0">
    <w:p w:rsidR="004319B0" w:rsidRDefault="004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0905"/>
      <w:docPartObj>
        <w:docPartGallery w:val="Page Numbers (Bottom of Page)"/>
        <w:docPartUnique/>
      </w:docPartObj>
    </w:sdtPr>
    <w:sdtEndPr/>
    <w:sdtContent>
      <w:p w:rsidR="00C42FB3" w:rsidRDefault="00FA66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B0" w:rsidRDefault="004319B0">
      <w:r>
        <w:separator/>
      </w:r>
    </w:p>
  </w:footnote>
  <w:footnote w:type="continuationSeparator" w:id="0">
    <w:p w:rsidR="004319B0" w:rsidRDefault="0043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B3"/>
    <w:rsid w:val="002D729F"/>
    <w:rsid w:val="003269A7"/>
    <w:rsid w:val="003521F5"/>
    <w:rsid w:val="004319B0"/>
    <w:rsid w:val="006E62D8"/>
    <w:rsid w:val="009923B1"/>
    <w:rsid w:val="00B73BB1"/>
    <w:rsid w:val="00C42FB3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15F2-FA5A-42FA-941F-C60AF854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right="-1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397"/>
        <w:tab w:val="left" w:pos="737"/>
      </w:tabs>
      <w:ind w:left="-709" w:right="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b/>
      <w:sz w:val="22"/>
      <w:szCs w:val="24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sz w:val="24"/>
      <w:szCs w:val="24"/>
      <w:lang w:eastAsia="ru-RU"/>
    </w:rPr>
  </w:style>
  <w:style w:type="paragraph" w:customStyle="1" w:styleId="D345FF3D873148C5AE3FBF3267827368">
    <w:name w:val="D345FF3D873148C5AE3FBF32678273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Рац А.А.</cp:lastModifiedBy>
  <cp:revision>2</cp:revision>
  <cp:lastPrinted>2017-07-16T16:49:00Z</cp:lastPrinted>
  <dcterms:created xsi:type="dcterms:W3CDTF">2017-07-17T09:24:00Z</dcterms:created>
  <dcterms:modified xsi:type="dcterms:W3CDTF">2017-07-17T09:24:00Z</dcterms:modified>
</cp:coreProperties>
</file>