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ru-RU"/>
        </w:rPr>
        <w:t>План</w:t>
      </w:r>
    </w:p>
    <w:p>
      <w:pPr>
        <w:keepNext/>
        <w:keepLine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ru-RU"/>
        </w:rPr>
        <w:t xml:space="preserve"> проведения семинара по обучению специалистов</w:t>
      </w:r>
    </w:p>
    <w:p>
      <w:pPr>
        <w:keepNext/>
        <w:keepLines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ru-RU"/>
        </w:rPr>
        <w:t>Союза ассоциаций и предприятий  фармацевтической и медицинской промышленности по технологии продвижения лекарственных препаратов и медицинских изделий с использованием продуктов</w:t>
      </w:r>
    </w:p>
    <w:p>
      <w:pPr>
        <w:keepNext/>
        <w:keepLines/>
        <w:spacing w:after="100" w:afterAutospacing="1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ru-RU"/>
        </w:rPr>
        <w:t xml:space="preserve">Российского экспортного центра» (РЭЦ) </w:t>
      </w:r>
    </w:p>
    <w:p>
      <w:pPr>
        <w:keepNext/>
        <w:keepLines/>
        <w:spacing w:after="100" w:afterAutospacing="1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ru-RU"/>
        </w:rPr>
        <w:t>28 февраля – 2 марта 2018г.</w:t>
      </w:r>
    </w:p>
    <w:tbl>
      <w:tblPr>
        <w:tblW w:w="5184" w:type="pct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831"/>
      </w:tblGrid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28 февраля </w:t>
            </w:r>
          </w:p>
          <w:p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рамках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 работы 10 съезда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Итоги работы РЭЦ по продвижению лекарственных средств и медицинских изделий в 2017г. и </w:t>
            </w: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задачах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 по её совершенствованию в 2018 году.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Доклад Управляющего директора по клиентской работе РЭЦ 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Гусакова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 Н.В.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Ответы на вопросы, обсуждение доклада.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1 марта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Нефинансовая поддержка экспорта.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Введение в Программу обучения.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Введение в Программу тренинга.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10:15 – 10:35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РЭЦ КАК ЕДИНОЕ ОКНО ПОДДЕРЖКИ ЭКСПОРТА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«Направления поддержки Группы РЭЦ».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«Повторение жизненного цикла экспортного проекта».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10:35 – 11:35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ВЫБОР РЫНКА И ПОИСК ПОКУПАТЕЛЯ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«Продукты РЭЦ по аналитике и исследованиям».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Практическая работа «Использование продуктов РЭЦ по аналитике и исследованиям»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11:35 – 11:50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11:50 – 13:20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ВЫБОР РЫНКА И ПОИСК ПОКУПАТЕЛЯ (продолжение)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«Продукты РЭЦ по поиску покупателя/партнера».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Практическая работа «Использование продуктов РЭЦ для поиска покупателя/партнера»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13:20 – 14:20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ОБЕД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14:20 – 15:20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ПОДГОТОВКА ПРОДУКТА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К ТРЕБОВАНИЯМ РЫНКА ПОКУПАТЕЛЯ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Мини-лекция «Продукты РЭЦ по международной адаптации экспортных товаров». 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«Продукты РЭЦ по международному патентованию».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Практическая работа «Использование продуктов РЭЦ для подготовки продукта к требованиям покупателя»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15:20 – 16:00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ПЕРЕГОВОРЫ С ПОКУПАТЕЛЕМ И ЗАКЛЮЧЕНИЕ ВНЕШНЕТОРГОВОГО КОНТРАКТА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«Продукты РЭЦ по содействию проведения переговоров с покупателем».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 «Продукты РЭЦ по подготовке экспортного контракта».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16:00 – 16:15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16:15 – 16:35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ПЕРЕГОВОРЫ С ПОКУПАТЕЛЕМ И ЗАКЛЮЧЕНИЕ ВНЕШНЕТОРГОВОГО КОНТРАКТА (продолжение)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Практическая работа «Использованию продуктов РЭЦ для переговоров с покупателями и заключения внешнеторгового контракта».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:35 –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17:25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ПОДГОТОВКА ТОВАРА К ЭКСПОРТУ. ДОСТАВКА ТОВАРА ИНОСТРАННОМУ ПОКУПАТЕЛЮ (ТАМОЖНЯ И ЛОГИСТИКА)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Мини-лекция «Продукты РЭЦ по таможенному администрированию». 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Мини-лекция «Продукты РЭЦ по логистике». 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Викторина «Использование продуктов РЭЦ по таможенному администрированию и логистике».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17:25 – 17:40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ПРАКТИЧЕСКИЕ АСПЕКТЫ ВЗАИМОДЕЙСТВИЯ С РЭЦ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«Единое окно» обработки обращений клиентов.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Личный кабинет экспортера и мобильное приложение.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Форма обратной связи и оценка удовлетворенности клиентов.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Мероприятия РЭЦ.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Сбор запросов клиентов на внедрение новых продуктов.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Советы – рекомендации для компаний от сотрудников РЭЦ и компаний.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18:10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keepNext/>
              <w:keepLines/>
              <w:spacing w:before="60" w:after="60"/>
              <w:outlineLvl w:val="1"/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Финальное упражнение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«Взаимодействие с РЭЦ по нефинансовой поддержке экспортной деятельности»</w:t>
            </w:r>
          </w:p>
        </w:tc>
      </w:tr>
      <w:tr>
        <w:trPr>
          <w:trHeight w:val="539"/>
        </w:trP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18:10 – 18:20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ОБРАТНАЯ СВЯЗЬ УЧАСТНИКОВ ПО ПЕРВОМУ ДНЮ</w:t>
            </w:r>
          </w:p>
        </w:tc>
      </w:tr>
    </w:tbl>
    <w:p>
      <w:pPr>
        <w:rPr>
          <w:rFonts w:ascii="Arial" w:eastAsia="Times New Roman" w:hAnsi="Arial" w:cs="Times New Roman"/>
          <w:lang w:eastAsia="ru-RU"/>
        </w:rPr>
      </w:pPr>
    </w:p>
    <w:p>
      <w:pPr>
        <w:rPr>
          <w:rFonts w:ascii="Arial" w:eastAsia="Times New Roman" w:hAnsi="Arial" w:cs="Times New Roman"/>
          <w:lang w:eastAsia="ru-RU"/>
        </w:rPr>
      </w:pPr>
    </w:p>
    <w:tbl>
      <w:tblPr>
        <w:tblW w:w="5184" w:type="pct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831"/>
      </w:tblGrid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br w:type="page"/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2 марта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ФИНАНСОВАЯ ПОДДЕРЖКА</w:t>
            </w:r>
          </w:p>
        </w:tc>
      </w:tr>
      <w:tr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18:00</w:t>
            </w:r>
          </w:p>
        </w:tc>
      </w:tr>
      <w:tr>
        <w:trPr>
          <w:trHeight w:val="623"/>
        </w:trP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10:00 – 10:15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Вводная мини-лекция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«Финансовая поддержка несырьевого экспорта» 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10:15 – 11:30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КРЕДИТНАЯ ПОДДЕРЖКА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Вступительная часть.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Мини-лекция «Основные параметры кредита».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Мини-лекция «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Предэкспортное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 финансирование».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Мини-лекция «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Постэкспортное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 финансирование или коммерческий кредит экспортера».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Мини-лекция «Кредит иностранному покупателю или банку иностранного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lastRenderedPageBreak/>
              <w:t>покупателя» (лизинговой компании,</w:t>
            </w:r>
            <w:r>
              <w:rPr>
                <w:rFonts w:ascii="Arial" w:eastAsia="Times New Roman" w:hAnsi="Arial" w:cs="Arial"/>
                <w:sz w:val="24"/>
                <w:szCs w:val="19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финансовой организации).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19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Практическая работа «Структурирование сделок с использованием продуктов РЭЦ для финансирования экспортных контрактов».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11:45 – 12:00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12:00 – 13:40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ГАРАНТИЙНАЯ ПОДДЕРЖКА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Мини-лекция «Вводная мини-лекция по гарантийной поддержке».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Мини-лекция «Гарантийные продукты Группы РЭЦ».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13:30 – 14:30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ОБЕД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14:30 – 15:00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ГАРАНТИЙНАЯ ПОДДЕРЖКА (продолжение)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Мини-лекция «Порядок рассмотрения возможности выдачи гарантий на примере АО РОСЭКСИМБАНК».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Практическое упражнение «Отличительные особенности банковских гарантий».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15:00 – 16:00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СТРАХОВАЯ ПОДДЕРЖКА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Мини-лекция» «Вводная мини-лекция по страховым продуктам ЭКСАР».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Мини-лекция: «Страховые продукты для экспортеров».</w:t>
            </w:r>
          </w:p>
          <w:p>
            <w:pPr>
              <w:keepNext/>
              <w:keepLines/>
              <w:spacing w:before="60" w:after="60" w:line="240" w:lineRule="auto"/>
              <w:outlineLvl w:val="1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Практическое упражнение «Определение вида страхового продукта для экспортера».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16:00 –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ПЕРЕРЫВ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16:15 – 16:45 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СТРАХОВАЯ ПОДДЕРЖКА (продолжение)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 - лекция «Страховые продукты для банков и финансовых институтов».</w:t>
            </w:r>
          </w:p>
          <w:p>
            <w:pPr>
              <w:keepNext/>
              <w:keepLines/>
              <w:spacing w:before="60" w:after="60" w:line="240" w:lineRule="auto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Викторина «Использование с</w:t>
            </w:r>
            <w:r>
              <w:rPr>
                <w:rFonts w:ascii="Arial" w:eastAsia="Times New Roman" w:hAnsi="Arial" w:cs="Times New Roman"/>
                <w:lang w:eastAsia="ru-RU"/>
              </w:rPr>
              <w:t>траховых продуктов для банков и финансовых институтов</w:t>
            </w:r>
            <w:r>
              <w:rPr>
                <w:rFonts w:ascii="Arial" w:eastAsia="Times New Roman" w:hAnsi="Arial" w:cs="Arial"/>
                <w:lang w:eastAsia="ru-RU"/>
              </w:rPr>
              <w:t>».</w:t>
            </w:r>
          </w:p>
          <w:p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Мини - лекция «Специальные страховые продукты».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17:10 –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18:10</w:t>
            </w:r>
          </w:p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КОМБИНИРОВАНИЕ ФИНАНСОВЫХ ПРОДУКТОВ  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keepNext/>
              <w:keepLines/>
              <w:spacing w:before="60" w:after="60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Мини-лекция: «Страховые продукты для экспортеров и сопутствующие им инструменты финансирования». </w:t>
            </w:r>
          </w:p>
        </w:tc>
      </w:tr>
      <w:t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>
            <w:pPr>
              <w:keepNext/>
              <w:keepLines/>
              <w:spacing w:before="60" w:after="60" w:line="240" w:lineRule="auto"/>
              <w:outlineLvl w:val="1"/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Финальное упражнение «Комбинирование финансовых продуктов»</w:t>
            </w:r>
          </w:p>
        </w:tc>
      </w:tr>
      <w:tr>
        <w:trPr>
          <w:trHeight w:val="601"/>
        </w:trP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18:10 – 18:30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ПЕРЕРЫВ</w:t>
            </w:r>
          </w:p>
        </w:tc>
      </w:tr>
      <w:tr>
        <w:trPr>
          <w:trHeight w:val="621"/>
        </w:trP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18:30 – 19:30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keepNext/>
              <w:keepLines/>
              <w:spacing w:before="60" w:after="60"/>
              <w:outlineLvl w:val="1"/>
              <w:rPr>
                <w:rFonts w:ascii="Arial" w:eastAsia="Times New Roman" w:hAnsi="Arial" w:cs="Arial"/>
                <w:color w:val="FF000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Итоговое тестирование</w:t>
            </w:r>
          </w:p>
        </w:tc>
      </w:tr>
      <w:tr>
        <w:trPr>
          <w:trHeight w:val="676"/>
        </w:trPr>
        <w:tc>
          <w:tcPr>
            <w:tcW w:w="105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19:30 – 20:00</w:t>
            </w:r>
          </w:p>
        </w:tc>
        <w:tc>
          <w:tcPr>
            <w:tcW w:w="394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>
            <w:pPr>
              <w:spacing w:before="60" w:after="6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Обратная связь участников по всему курсу и вручение сертификатов</w:t>
            </w:r>
          </w:p>
        </w:tc>
      </w:tr>
    </w:tbl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28 февраля – место проведения Дом Ученых РАН (Пречистенка, 16)</w:t>
      </w:r>
      <w:bookmarkStart w:id="0" w:name="_GoBack"/>
      <w:bookmarkEnd w:id="0"/>
    </w:p>
    <w:p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– 2 марта – место проведения Центр Международной торговли).</w:t>
      </w:r>
      <w:proofErr w:type="gramEnd"/>
    </w:p>
    <w:sectPr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Алена Валерьевна</dc:creator>
  <cp:keywords/>
  <dc:description/>
  <cp:lastModifiedBy>РОСМЕДПРОМ</cp:lastModifiedBy>
  <cp:revision>7</cp:revision>
  <cp:lastPrinted>2018-01-25T06:27:00Z</cp:lastPrinted>
  <dcterms:created xsi:type="dcterms:W3CDTF">2018-01-19T16:28:00Z</dcterms:created>
  <dcterms:modified xsi:type="dcterms:W3CDTF">2018-01-29T09:37:00Z</dcterms:modified>
</cp:coreProperties>
</file>